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15" w:lineRule="auto"/>
        <w:jc w:val="left"/>
        <w:textAlignment w:val="auto"/>
        <w:rPr>
          <w:color w:val="5B9BD5" w:themeColor="accent1"/>
          <w:highlight w:val="none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drawing>
          <wp:inline distT="0" distB="0" distL="114300" distR="114300">
            <wp:extent cx="5268595" cy="2715895"/>
            <wp:effectExtent l="0" t="0" r="825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4150" cy="523875"/>
            <wp:effectExtent l="0" t="0" r="1270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5B9BD5" w:themeColor="accent1"/>
          <w:spacing w:val="30"/>
          <w:highlight w:val="none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Style w:val="5"/>
          <w:color w:val="5B9BD5" w:themeColor="accent1"/>
          <w:spacing w:val="30"/>
          <w:sz w:val="21"/>
          <w:szCs w:val="21"/>
          <w:highlight w:val="none"/>
          <w:bdr w:val="none" w:color="auto" w:sz="0" w:space="0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企业职工基本养老保险病退和退职的办理</w:t>
      </w:r>
      <w:bookmarkStart w:id="0" w:name="_GoBack"/>
      <w:bookmarkEnd w:id="0"/>
      <w:r>
        <w:rPr>
          <w:rStyle w:val="5"/>
          <w:color w:val="5B9BD5" w:themeColor="accent1"/>
          <w:spacing w:val="30"/>
          <w:sz w:val="21"/>
          <w:szCs w:val="21"/>
          <w:highlight w:val="none"/>
          <w:bdr w:val="none" w:color="auto" w:sz="0" w:space="0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条件、待遇有什么区别？</w:t>
      </w:r>
      <w:r>
        <w:rPr>
          <w:color w:val="5B9BD5" w:themeColor="accent1"/>
          <w:spacing w:val="30"/>
          <w:sz w:val="21"/>
          <w:szCs w:val="21"/>
          <w:highlight w:val="none"/>
          <w:bdr w:val="none" w:color="auto" w:sz="0" w:space="0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textAlignment w:val="auto"/>
        <w:rPr>
          <w:spacing w:val="30"/>
          <w:sz w:val="21"/>
          <w:szCs w:val="21"/>
        </w:rPr>
      </w:pPr>
      <w:r>
        <w:rPr>
          <w:rStyle w:val="5"/>
          <w:rFonts w:hint="eastAsia"/>
          <w:color w:val="006EAA"/>
          <w:spacing w:val="30"/>
          <w:sz w:val="21"/>
          <w:szCs w:val="21"/>
          <w:bdr w:val="none" w:color="auto" w:sz="0" w:space="0"/>
          <w:lang w:eastAsia="zh-CN"/>
        </w:rPr>
        <w:t>一、</w:t>
      </w:r>
      <w:r>
        <w:rPr>
          <w:rStyle w:val="5"/>
          <w:color w:val="006EAA"/>
          <w:spacing w:val="30"/>
          <w:sz w:val="21"/>
          <w:szCs w:val="21"/>
          <w:bdr w:val="none" w:color="auto" w:sz="0" w:space="0"/>
          <w:shd w:val="clear" w:color="auto" w:fill="auto"/>
        </w:rPr>
        <w:t>办理条件不同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548DD4"/>
          <w:kern w:val="0"/>
          <w:sz w:val="21"/>
          <w:szCs w:val="21"/>
          <w:bdr w:val="none" w:color="auto" w:sz="0" w:space="0"/>
          <w:lang w:val="en-US" w:eastAsia="zh-CN" w:bidi="ar"/>
        </w:rPr>
        <w:t>●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办理病退的条件：因病或非因工致残，经劳动能力鉴定委员会确认，完全丧失劳动能力;缴费满15年且在国有或县以上集体企业工作期间缴费满10年;男年满50周岁，女年满45周岁。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548DD4"/>
          <w:kern w:val="0"/>
          <w:sz w:val="21"/>
          <w:szCs w:val="21"/>
          <w:bdr w:val="none" w:color="auto" w:sz="0" w:space="0"/>
          <w:lang w:val="en-US" w:eastAsia="zh-CN" w:bidi="ar"/>
        </w:rPr>
        <w:t>●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办理退职的条件：因病或非因工致残，经劳动能力鉴定委员会确认，完全丧失劳动能力;缴费满15年且在国有或县以上集体企业工作期间缴费满10年；男不满50周岁，女不满45周岁。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综上所述，两者之间的区别主要是年龄要求方面。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Style w:val="5"/>
          <w:rFonts w:ascii="Times New Roman" w:hAnsi="Times New Roman" w:eastAsia="宋体" w:cs="Times New Roman"/>
          <w:color w:val="006EAA"/>
          <w:spacing w:val="30"/>
          <w:sz w:val="21"/>
          <w:szCs w:val="21"/>
        </w:rPr>
      </w:pPr>
      <w:r>
        <w:rPr>
          <w:rStyle w:val="5"/>
          <w:rFonts w:hint="eastAsia" w:ascii="Times New Roman" w:hAnsi="Times New Roman" w:eastAsia="宋体" w:cs="Times New Roman"/>
          <w:color w:val="006EAA"/>
          <w:spacing w:val="30"/>
          <w:sz w:val="21"/>
          <w:szCs w:val="21"/>
          <w:lang w:eastAsia="zh-CN"/>
        </w:rPr>
        <w:t>二、</w:t>
      </w:r>
      <w:r>
        <w:rPr>
          <w:rStyle w:val="5"/>
          <w:rFonts w:ascii="Times New Roman" w:hAnsi="Times New Roman" w:eastAsia="宋体" w:cs="Times New Roman"/>
          <w:color w:val="006EAA"/>
          <w:spacing w:val="30"/>
          <w:sz w:val="21"/>
          <w:szCs w:val="21"/>
        </w:rPr>
        <w:t>待遇不同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一是待遇计算办法有区别。按现行政策，因病提前退休人员基础养老金、过渡性养老金、个人账户养老金的待遇计算办法与正常退休人员相同；退职人员的基础养老金、个人账户养老金的待遇计算办法与正常退休人员相同，无过渡性养老金，1997年底前参加工作并缴费的有120元的调节金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二是去世后待遇有区别。按现行政策，因病退休人员去世后其遗属享受丧葬费、一次性救济费，符合供养条件的直系亲属生活困难补助所需资金纳入统筹支付；退职人员去世后其遗属仅享受丧葬费。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3684270" cy="2437765"/>
            <wp:effectExtent l="0" t="0" r="11430" b="635"/>
            <wp:docPr id="5" name="图片 5" descr="微信图片_2021060509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605091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/>
        <w:jc w:val="left"/>
        <w:textAlignment w:val="auto"/>
        <w:rPr>
          <w:color w:val="5B9BD5" w:themeColor="accent1"/>
          <w:sz w:val="21"/>
          <w:szCs w:val="21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Style w:val="5"/>
          <w:rFonts w:ascii="Times New Roman" w:hAnsi="Times New Roman" w:eastAsia="宋体" w:cs="Times New Roman"/>
          <w:color w:val="5B9BD5" w:themeColor="accent1"/>
          <w:spacing w:val="30"/>
          <w:kern w:val="0"/>
          <w:sz w:val="21"/>
          <w:szCs w:val="21"/>
          <w:highlight w:val="none"/>
          <w:lang w:val="en-US" w:eastAsia="zh-CN" w:bidi="ar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重要提醒：病退、退职不得改办正常退休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无论是办理病退、退职还是正常退休，享受的都是企业职工基本养老保险待遇，按照自愿原则、不得前后重复享受待遇原则，病退人员不允许改办正常退休，退职人员不允许改办因病提前退休及正常退休。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textAlignment w:val="auto"/>
        <w:rPr>
          <w:sz w:val="21"/>
          <w:szCs w:val="21"/>
        </w:rPr>
      </w:pPr>
      <w:r>
        <w:rPr>
          <w:rStyle w:val="5"/>
          <w:color w:val="5B9BD5" w:themeColor="accent1"/>
          <w:spacing w:val="30"/>
          <w:sz w:val="21"/>
          <w:szCs w:val="21"/>
          <w:bdr w:val="none" w:color="auto" w:sz="0" w:space="0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案例</w:t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某公司职工张某因完全丧失劳动能力且无经济收入来源，于2013年主动申请并办理了因病退休，现满60周岁，近期来人社局要求办理正常退休，工作人员根据《国务院关于工人退休、退职的暂行办法》（国发〔1978〕104号附件二）的规定，告知参保人：符合病退条件的，本人可申请病退，也可选择在法定正常退休年龄时办理正常退休手续，但不得在办理病退后再申请办理正常退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108F5"/>
    <w:rsid w:val="79701661"/>
    <w:rsid w:val="7AC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2021-06-05T01:01:00Z</dcterms:created>
  <dc:creator>夜雨秋风</dc:creator>
  <cp:lastModifiedBy>夜雨秋风</cp:lastModifiedBy>
  <dcterms:modified xsi:type="dcterms:W3CDTF">2021-06-05T01:13:21Z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CE02014EE5BA4DD9B113CF05016C5E14</vt:lpwstr>
  </property>
</Properties>
</file>