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15" w:lineRule="auto"/>
        <w:jc w:val="left"/>
        <w:textAlignment w:val="auto"/>
        <w:rPr>
          <w:color w:val="5B9BD5" w:themeColor="accent1"/>
          <w:highlight w:val="none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  <w:r>
        <w:drawing>
          <wp:inline distT="0" distB="0" distL="114300" distR="114300">
            <wp:extent cx="5268595" cy="2715895"/>
            <wp:effectExtent l="0" t="0" r="8255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64150" cy="523875"/>
            <wp:effectExtent l="0" t="0" r="12700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color w:val="5B9BD5" w:themeColor="accent1"/>
          <w:spacing w:val="30"/>
          <w:highlight w:val="none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  <w:r>
        <w:rPr>
          <w:rStyle w:val="5"/>
          <w:color w:val="5B9BD5" w:themeColor="accent1"/>
          <w:spacing w:val="30"/>
          <w:sz w:val="21"/>
          <w:szCs w:val="21"/>
          <w:highlight w:val="none"/>
          <w:bdr w:val="none" w:color="auto" w:sz="0" w:space="0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  <w:t>企业职工基本养老保险病退和退职的办理</w:t>
      </w:r>
      <w:bookmarkStart w:id="0" w:name="_GoBack"/>
      <w:bookmarkEnd w:id="0"/>
      <w:r>
        <w:rPr>
          <w:rStyle w:val="5"/>
          <w:color w:val="5B9BD5" w:themeColor="accent1"/>
          <w:spacing w:val="30"/>
          <w:sz w:val="21"/>
          <w:szCs w:val="21"/>
          <w:highlight w:val="none"/>
          <w:bdr w:val="none" w:color="auto" w:sz="0" w:space="0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  <w:t>条件、待遇有什么区别？</w:t>
      </w:r>
      <w:r>
        <w:rPr>
          <w:color w:val="5B9BD5" w:themeColor="accent1"/>
          <w:spacing w:val="30"/>
          <w:sz w:val="21"/>
          <w:szCs w:val="21"/>
          <w:highlight w:val="none"/>
          <w:bdr w:val="none" w:color="auto" w:sz="0" w:space="0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/>
        <w:textAlignment w:val="auto"/>
        <w:rPr>
          <w:spacing w:val="30"/>
          <w:sz w:val="21"/>
          <w:szCs w:val="21"/>
        </w:rPr>
      </w:pPr>
      <w:r>
        <w:rPr>
          <w:rStyle w:val="5"/>
          <w:rFonts w:hint="eastAsia"/>
          <w:color w:val="006EAA"/>
          <w:spacing w:val="30"/>
          <w:sz w:val="21"/>
          <w:szCs w:val="21"/>
          <w:bdr w:val="none" w:color="auto" w:sz="0" w:space="0"/>
          <w:lang w:eastAsia="zh-CN"/>
        </w:rPr>
        <w:t>一、</w:t>
      </w:r>
      <w:r>
        <w:rPr>
          <w:rStyle w:val="5"/>
          <w:color w:val="006EAA"/>
          <w:spacing w:val="30"/>
          <w:sz w:val="21"/>
          <w:szCs w:val="21"/>
          <w:bdr w:val="none" w:color="auto" w:sz="0" w:space="0"/>
          <w:shd w:val="clear" w:color="auto" w:fill="auto"/>
        </w:rPr>
        <w:t>办理条件不同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sz w:val="21"/>
          <w:szCs w:val="21"/>
        </w:rPr>
      </w:pPr>
      <w:r>
        <w:rPr>
          <w:rFonts w:ascii="宋体" w:hAnsi="宋体" w:eastAsia="宋体" w:cs="宋体"/>
          <w:color w:val="548DD4"/>
          <w:kern w:val="0"/>
          <w:sz w:val="21"/>
          <w:szCs w:val="21"/>
          <w:bdr w:val="none" w:color="auto" w:sz="0" w:space="0"/>
          <w:lang w:val="en-US" w:eastAsia="zh-CN" w:bidi="ar"/>
        </w:rPr>
        <w:t>●</w:t>
      </w:r>
      <w:r>
        <w:rPr>
          <w:rFonts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办理病退的条件：因病或非因工致残，经劳动能力鉴定委员会确认，完全丧失劳动能力;缴费满15年且在国有或县以上集体企业工作期间缴费满10年;男年满50周岁，女年满45周岁。</w:t>
      </w:r>
    </w:p>
    <w:p>
      <w:pPr>
        <w:keepNext w:val="0"/>
        <w:keepLines w:val="0"/>
        <w:widowControl/>
        <w:suppressLineNumbers w:val="0"/>
        <w:jc w:val="left"/>
        <w:rPr>
          <w:sz w:val="21"/>
          <w:szCs w:val="21"/>
        </w:rPr>
      </w:pPr>
      <w:r>
        <w:rPr>
          <w:rFonts w:ascii="宋体" w:hAnsi="宋体" w:eastAsia="宋体" w:cs="宋体"/>
          <w:color w:val="548DD4"/>
          <w:kern w:val="0"/>
          <w:sz w:val="21"/>
          <w:szCs w:val="21"/>
          <w:bdr w:val="none" w:color="auto" w:sz="0" w:space="0"/>
          <w:lang w:val="en-US" w:eastAsia="zh-CN" w:bidi="ar"/>
        </w:rPr>
        <w:t>●</w:t>
      </w:r>
      <w:r>
        <w:rPr>
          <w:rFonts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办理退职的条件：因病或非因工致残，经劳动能力鉴定委员会确认，完全丧失劳动能力;缴费满15年且在国有或县以上集体企业工作期间缴费满10年；男不满50周岁，女不满45周岁。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综上所述，两者之间的区别主要是年龄要求方面。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/>
        <w:jc w:val="left"/>
        <w:textAlignment w:val="auto"/>
        <w:rPr>
          <w:rStyle w:val="5"/>
          <w:rFonts w:ascii="Times New Roman" w:hAnsi="Times New Roman" w:eastAsia="宋体" w:cs="Times New Roman"/>
          <w:color w:val="006EAA"/>
          <w:spacing w:val="30"/>
          <w:sz w:val="21"/>
          <w:szCs w:val="21"/>
        </w:rPr>
      </w:pPr>
      <w:r>
        <w:rPr>
          <w:rStyle w:val="5"/>
          <w:rFonts w:hint="eastAsia" w:ascii="Times New Roman" w:hAnsi="Times New Roman" w:eastAsia="宋体" w:cs="Times New Roman"/>
          <w:color w:val="006EAA"/>
          <w:spacing w:val="30"/>
          <w:sz w:val="21"/>
          <w:szCs w:val="21"/>
          <w:lang w:eastAsia="zh-CN"/>
        </w:rPr>
        <w:t>二、</w:t>
      </w:r>
      <w:r>
        <w:rPr>
          <w:rStyle w:val="5"/>
          <w:rFonts w:ascii="Times New Roman" w:hAnsi="Times New Roman" w:eastAsia="宋体" w:cs="Times New Roman"/>
          <w:color w:val="006EAA"/>
          <w:spacing w:val="30"/>
          <w:sz w:val="21"/>
          <w:szCs w:val="21"/>
        </w:rPr>
        <w:t>待遇不同</w:t>
      </w:r>
    </w:p>
    <w:p>
      <w:pPr>
        <w:keepNext w:val="0"/>
        <w:keepLines w:val="0"/>
        <w:widowControl/>
        <w:suppressLineNumbers w:val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一是待遇计算办法有区别。按现行政策，因病提前退休人员基础养老金、过渡性养老金、个人账户养老金的待遇计算办法与正常退休人员相同；退职人员的基础养老金、个人账户养老金的待遇计算办法与正常退休人员相同，无过渡性养老金，1997年底前参加工作并缴费的有120元的调节金。</w:t>
      </w:r>
    </w:p>
    <w:p>
      <w:pPr>
        <w:keepNext w:val="0"/>
        <w:keepLines w:val="0"/>
        <w:widowControl/>
        <w:suppressLineNumbers w:val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二是去世后待遇有区别。按现行政策，因病退休人员去世后其遗属享受丧葬费、一次性救济费，符合供养条件的直系亲属生活困难补助所需资金纳入统筹支付；退职人员去世后其遗属仅享受丧葬费。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 w:eastAsiaTheme="minorEastAsia"/>
          <w:sz w:val="21"/>
          <w:szCs w:val="21"/>
          <w:lang w:eastAsia="zh-CN"/>
        </w:rPr>
        <w:drawing>
          <wp:inline distT="0" distB="0" distL="114300" distR="114300">
            <wp:extent cx="3684270" cy="2437765"/>
            <wp:effectExtent l="0" t="0" r="11430" b="635"/>
            <wp:docPr id="5" name="图片 5" descr="微信图片_2021060509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10605091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4270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/>
        <w:jc w:val="left"/>
        <w:textAlignment w:val="auto"/>
        <w:rPr>
          <w:color w:val="5B9BD5" w:themeColor="accent1"/>
          <w:sz w:val="21"/>
          <w:szCs w:val="21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  <w:r>
        <w:rPr>
          <w:rStyle w:val="5"/>
          <w:rFonts w:ascii="Times New Roman" w:hAnsi="Times New Roman" w:eastAsia="宋体" w:cs="Times New Roman"/>
          <w:color w:val="5B9BD5" w:themeColor="accent1"/>
          <w:spacing w:val="30"/>
          <w:kern w:val="0"/>
          <w:sz w:val="21"/>
          <w:szCs w:val="21"/>
          <w:highlight w:val="none"/>
          <w:lang w:val="en-US" w:eastAsia="zh-CN" w:bidi="ar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  <w:t>重要提醒：病退、退职不得改办正常退休</w:t>
      </w:r>
      <w:r>
        <w:rPr>
          <w:rFonts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无论是办理病退、退职还是正常退休，享受的都是企业职工基本养老保险待遇，按照自愿原则、不得前后重复享受待遇原则，病退人员不允许改办正常退休，退职人员不允许改办因病提前退休及正常退休。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/>
        <w:textAlignment w:val="auto"/>
        <w:rPr>
          <w:sz w:val="21"/>
          <w:szCs w:val="21"/>
        </w:rPr>
      </w:pPr>
      <w:r>
        <w:rPr>
          <w:rStyle w:val="5"/>
          <w:color w:val="5B9BD5" w:themeColor="accent1"/>
          <w:spacing w:val="30"/>
          <w:sz w:val="21"/>
          <w:szCs w:val="21"/>
          <w:bdr w:val="none" w:color="auto" w:sz="0" w:space="0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  <w:t>案例</w:t>
      </w:r>
      <w:r>
        <w:rPr>
          <w:rFonts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某公司职工张某因完全丧失劳动能力且无经济收入来源，于2013年主动申请并办理了因病退休，现满60周岁，近期来人社局要求办理正常退休，工作人员根据《国务院关于工人退休、退职的暂行办法》（国发〔1978〕104号附件二）的规定，告知参保人：符合病退条件的，本人可申请病退，也可选择在法定正常退休年龄时办理正常退休手续，但不得在办理病退后再申请办理正常退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108F5"/>
    <w:rsid w:val="79701661"/>
    <w:rsid w:val="7AC1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2021-06-05T01:01:00Z</dcterms:created>
  <dc:creator>夜雨秋风</dc:creator>
  <cp:lastModifiedBy>夜雨秋风</cp:lastModifiedBy>
  <dcterms:modified xsi:type="dcterms:W3CDTF">2021-06-05T01:13:21Z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CE02014EE5BA4DD9B113CF05016C5E14</vt:lpwstr>
  </property>
</Properties>
</file>